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BB529" w14:textId="7FD4CB0F" w:rsidR="00546A19" w:rsidRDefault="00546A19">
      <w:pPr>
        <w:pStyle w:val="21"/>
      </w:pPr>
      <w:bookmarkStart w:id="0" w:name="_GoBack"/>
      <w:bookmarkEnd w:id="0"/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12189"/>
      </w:tblGrid>
      <w:tr w:rsidR="00546A19" w14:paraId="58C83947" w14:textId="77777777">
        <w:trPr>
          <w:jc w:val="center"/>
        </w:trPr>
        <w:tc>
          <w:tcPr>
            <w:tcW w:w="2948" w:type="dxa"/>
            <w:shd w:val="clear" w:color="auto" w:fill="D9EAF7"/>
          </w:tcPr>
          <w:p w14:paraId="2B81D025" w14:textId="77777777" w:rsidR="00546A19" w:rsidRDefault="003152E0">
            <w:r>
              <w:rPr>
                <w:b/>
                <w:sz w:val="16"/>
              </w:rPr>
              <w:t>Параметр</w:t>
            </w:r>
          </w:p>
        </w:tc>
        <w:tc>
          <w:tcPr>
            <w:tcW w:w="12189" w:type="dxa"/>
            <w:shd w:val="clear" w:color="auto" w:fill="D9EAF7"/>
          </w:tcPr>
          <w:p w14:paraId="2E1AE4CC" w14:textId="77777777" w:rsidR="00546A19" w:rsidRDefault="003152E0">
            <w:r>
              <w:rPr>
                <w:b/>
                <w:sz w:val="16"/>
              </w:rPr>
              <w:t>Значение</w:t>
            </w:r>
          </w:p>
        </w:tc>
      </w:tr>
      <w:tr w:rsidR="00546A19" w:rsidRPr="00455C7B" w14:paraId="77CD714C" w14:textId="77777777">
        <w:trPr>
          <w:jc w:val="center"/>
        </w:trPr>
        <w:tc>
          <w:tcPr>
            <w:tcW w:w="2948" w:type="dxa"/>
            <w:shd w:val="clear" w:color="auto" w:fill="F2F2F2"/>
          </w:tcPr>
          <w:p w14:paraId="144A4A76" w14:textId="77777777" w:rsidR="00546A19" w:rsidRDefault="003152E0">
            <w:r>
              <w:rPr>
                <w:sz w:val="16"/>
              </w:rPr>
              <w:t>Тип оборудования</w:t>
            </w:r>
          </w:p>
        </w:tc>
        <w:tc>
          <w:tcPr>
            <w:tcW w:w="12189" w:type="dxa"/>
          </w:tcPr>
          <w:p w14:paraId="01175967" w14:textId="77777777" w:rsidR="00546A19" w:rsidRPr="00455C7B" w:rsidRDefault="003152E0">
            <w:pPr>
              <w:rPr>
                <w:lang w:val="ru-RU"/>
              </w:rPr>
            </w:pPr>
            <w:r w:rsidRPr="00455C7B">
              <w:rPr>
                <w:sz w:val="16"/>
                <w:lang w:val="ru-RU"/>
              </w:rPr>
              <w:t>Установка магнетронного напыления для резистивных сплавов и металлизации ГИС</w:t>
            </w:r>
          </w:p>
        </w:tc>
      </w:tr>
      <w:tr w:rsidR="00546A19" w:rsidRPr="00455C7B" w14:paraId="20199551" w14:textId="77777777">
        <w:trPr>
          <w:jc w:val="center"/>
        </w:trPr>
        <w:tc>
          <w:tcPr>
            <w:tcW w:w="2948" w:type="dxa"/>
            <w:shd w:val="clear" w:color="auto" w:fill="F2F2F2"/>
          </w:tcPr>
          <w:p w14:paraId="1F80693F" w14:textId="77777777" w:rsidR="00546A19" w:rsidRDefault="003152E0">
            <w:proofErr w:type="spellStart"/>
            <w:r>
              <w:rPr>
                <w:sz w:val="16"/>
              </w:rPr>
              <w:t>Назначение</w:t>
            </w:r>
            <w:proofErr w:type="spellEnd"/>
          </w:p>
        </w:tc>
        <w:tc>
          <w:tcPr>
            <w:tcW w:w="12189" w:type="dxa"/>
          </w:tcPr>
          <w:p w14:paraId="1C5265D6" w14:textId="77777777" w:rsidR="00546A19" w:rsidRPr="00455C7B" w:rsidRDefault="003152E0">
            <w:pPr>
              <w:rPr>
                <w:lang w:val="ru-RU"/>
              </w:rPr>
            </w:pPr>
            <w:r w:rsidRPr="00455C7B">
              <w:rPr>
                <w:sz w:val="16"/>
                <w:lang w:val="ru-RU"/>
              </w:rPr>
              <w:t xml:space="preserve">Магнетронное нанесение тонких пленок на подложки 68×40 мм </w:t>
            </w:r>
            <w:r w:rsidRPr="00455C7B">
              <w:rPr>
                <w:sz w:val="16"/>
                <w:lang w:val="ru-RU"/>
              </w:rPr>
              <w:t>одновременно с двух сторон с нагревом и ионной очисткой.</w:t>
            </w:r>
          </w:p>
        </w:tc>
      </w:tr>
      <w:tr w:rsidR="00546A19" w:rsidRPr="00455C7B" w14:paraId="43E64ED8" w14:textId="77777777">
        <w:trPr>
          <w:jc w:val="center"/>
        </w:trPr>
        <w:tc>
          <w:tcPr>
            <w:tcW w:w="2948" w:type="dxa"/>
            <w:shd w:val="clear" w:color="auto" w:fill="F2F2F2"/>
          </w:tcPr>
          <w:p w14:paraId="1081FE59" w14:textId="77777777" w:rsidR="00546A19" w:rsidRDefault="003152E0">
            <w:proofErr w:type="spellStart"/>
            <w:r>
              <w:rPr>
                <w:sz w:val="16"/>
              </w:rPr>
              <w:t>Обработка</w:t>
            </w:r>
            <w:proofErr w:type="spellEnd"/>
          </w:p>
        </w:tc>
        <w:tc>
          <w:tcPr>
            <w:tcW w:w="12189" w:type="dxa"/>
          </w:tcPr>
          <w:p w14:paraId="66075F77" w14:textId="77777777" w:rsidR="00546A19" w:rsidRPr="00455C7B" w:rsidRDefault="003152E0">
            <w:pPr>
              <w:rPr>
                <w:lang w:val="ru-RU"/>
              </w:rPr>
            </w:pPr>
            <w:r w:rsidRPr="00455C7B">
              <w:rPr>
                <w:sz w:val="16"/>
                <w:lang w:val="ru-RU"/>
              </w:rPr>
              <w:t>Двухстороннее нанесение на вертикальном вращающемся барабане; возможна односторонняя обработка.</w:t>
            </w:r>
          </w:p>
        </w:tc>
      </w:tr>
      <w:tr w:rsidR="00546A19" w14:paraId="101893E4" w14:textId="77777777">
        <w:trPr>
          <w:jc w:val="center"/>
        </w:trPr>
        <w:tc>
          <w:tcPr>
            <w:tcW w:w="2948" w:type="dxa"/>
            <w:shd w:val="clear" w:color="auto" w:fill="F2F2F2"/>
          </w:tcPr>
          <w:p w14:paraId="756B7C8C" w14:textId="77777777" w:rsidR="00546A19" w:rsidRDefault="003152E0">
            <w:proofErr w:type="spellStart"/>
            <w:r>
              <w:rPr>
                <w:sz w:val="16"/>
              </w:rPr>
              <w:t>Загрузка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подложек</w:t>
            </w:r>
            <w:proofErr w:type="spellEnd"/>
          </w:p>
        </w:tc>
        <w:tc>
          <w:tcPr>
            <w:tcW w:w="12189" w:type="dxa"/>
          </w:tcPr>
          <w:p w14:paraId="3795FD06" w14:textId="77777777" w:rsidR="00546A19" w:rsidRDefault="003152E0">
            <w:r w:rsidRPr="00455C7B">
              <w:rPr>
                <w:sz w:val="16"/>
                <w:lang w:val="ru-RU"/>
              </w:rPr>
              <w:t xml:space="preserve">60×48 мм — 66 шт. (70 без свидетелей сопротивления); при </w:t>
            </w:r>
            <w:r w:rsidRPr="00455C7B">
              <w:rPr>
                <w:sz w:val="16"/>
                <w:lang w:val="ru-RU"/>
              </w:rPr>
              <w:t xml:space="preserve">односторонней обработке — 110 шт. </w:t>
            </w:r>
            <w:r>
              <w:rPr>
                <w:sz w:val="16"/>
              </w:rPr>
              <w:t xml:space="preserve">(112 </w:t>
            </w: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свидетелей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сопротивления</w:t>
            </w:r>
            <w:proofErr w:type="spellEnd"/>
            <w:r>
              <w:rPr>
                <w:sz w:val="16"/>
              </w:rPr>
              <w:t>).</w:t>
            </w:r>
          </w:p>
        </w:tc>
      </w:tr>
      <w:tr w:rsidR="00546A19" w:rsidRPr="00455C7B" w14:paraId="53C31784" w14:textId="77777777">
        <w:trPr>
          <w:jc w:val="center"/>
        </w:trPr>
        <w:tc>
          <w:tcPr>
            <w:tcW w:w="2948" w:type="dxa"/>
            <w:shd w:val="clear" w:color="auto" w:fill="F2F2F2"/>
          </w:tcPr>
          <w:p w14:paraId="19EE5AF6" w14:textId="77777777" w:rsidR="00546A19" w:rsidRDefault="003152E0">
            <w:r>
              <w:rPr>
                <w:sz w:val="16"/>
              </w:rPr>
              <w:t>Способ загрузки</w:t>
            </w:r>
          </w:p>
        </w:tc>
        <w:tc>
          <w:tcPr>
            <w:tcW w:w="12189" w:type="dxa"/>
          </w:tcPr>
          <w:p w14:paraId="68244DA1" w14:textId="77777777" w:rsidR="00546A19" w:rsidRPr="00455C7B" w:rsidRDefault="003152E0">
            <w:pPr>
              <w:rPr>
                <w:lang w:val="ru-RU"/>
              </w:rPr>
            </w:pPr>
            <w:r w:rsidRPr="00455C7B">
              <w:rPr>
                <w:sz w:val="16"/>
                <w:lang w:val="ru-RU"/>
              </w:rPr>
              <w:t>Ручная загрузка через дверь камеры на носителях.</w:t>
            </w:r>
          </w:p>
        </w:tc>
      </w:tr>
      <w:tr w:rsidR="00546A19" w:rsidRPr="00455C7B" w14:paraId="7E4CEE2C" w14:textId="77777777">
        <w:trPr>
          <w:jc w:val="center"/>
        </w:trPr>
        <w:tc>
          <w:tcPr>
            <w:tcW w:w="2948" w:type="dxa"/>
            <w:shd w:val="clear" w:color="auto" w:fill="F2F2F2"/>
          </w:tcPr>
          <w:p w14:paraId="7E6A10B8" w14:textId="77777777" w:rsidR="00546A19" w:rsidRDefault="003152E0">
            <w:proofErr w:type="spellStart"/>
            <w:r>
              <w:rPr>
                <w:sz w:val="16"/>
              </w:rPr>
              <w:t>Технологические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устройства</w:t>
            </w:r>
            <w:proofErr w:type="spellEnd"/>
          </w:p>
        </w:tc>
        <w:tc>
          <w:tcPr>
            <w:tcW w:w="12189" w:type="dxa"/>
          </w:tcPr>
          <w:p w14:paraId="46106704" w14:textId="77777777" w:rsidR="00546A19" w:rsidRPr="00455C7B" w:rsidRDefault="003152E0">
            <w:pPr>
              <w:rPr>
                <w:lang w:val="ru-RU"/>
              </w:rPr>
            </w:pPr>
            <w:r w:rsidRPr="00455C7B">
              <w:rPr>
                <w:sz w:val="16"/>
                <w:lang w:val="ru-RU"/>
              </w:rPr>
              <w:t>Наружные магнетроны — 3 (4 опция); внутренние магнетроны — 4; источники ионов — 2.</w:t>
            </w:r>
          </w:p>
        </w:tc>
      </w:tr>
      <w:tr w:rsidR="00546A19" w:rsidRPr="00455C7B" w14:paraId="526155CB" w14:textId="77777777">
        <w:trPr>
          <w:jc w:val="center"/>
        </w:trPr>
        <w:tc>
          <w:tcPr>
            <w:tcW w:w="2948" w:type="dxa"/>
            <w:shd w:val="clear" w:color="auto" w:fill="F2F2F2"/>
          </w:tcPr>
          <w:p w14:paraId="685A1980" w14:textId="77777777" w:rsidR="00546A19" w:rsidRDefault="003152E0">
            <w:proofErr w:type="spellStart"/>
            <w:r>
              <w:rPr>
                <w:sz w:val="16"/>
              </w:rPr>
              <w:t>Измерите</w:t>
            </w:r>
            <w:r>
              <w:rPr>
                <w:sz w:val="16"/>
              </w:rPr>
              <w:t>льные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системы</w:t>
            </w:r>
            <w:proofErr w:type="spellEnd"/>
          </w:p>
        </w:tc>
        <w:tc>
          <w:tcPr>
            <w:tcW w:w="12189" w:type="dxa"/>
          </w:tcPr>
          <w:p w14:paraId="639125BB" w14:textId="77777777" w:rsidR="00546A19" w:rsidRPr="00455C7B" w:rsidRDefault="003152E0">
            <w:pPr>
              <w:rPr>
                <w:lang w:val="ru-RU"/>
              </w:rPr>
            </w:pPr>
            <w:r w:rsidRPr="00455C7B">
              <w:rPr>
                <w:sz w:val="16"/>
                <w:lang w:val="ru-RU"/>
              </w:rPr>
              <w:t>Датчик температуры на барабане — 1; датчики сопротивления (свидетели) — 2.</w:t>
            </w:r>
          </w:p>
        </w:tc>
      </w:tr>
      <w:tr w:rsidR="00546A19" w:rsidRPr="00455C7B" w14:paraId="31597D0E" w14:textId="77777777">
        <w:trPr>
          <w:jc w:val="center"/>
        </w:trPr>
        <w:tc>
          <w:tcPr>
            <w:tcW w:w="2948" w:type="dxa"/>
            <w:shd w:val="clear" w:color="auto" w:fill="F2F2F2"/>
          </w:tcPr>
          <w:p w14:paraId="7B2524EF" w14:textId="77777777" w:rsidR="00546A19" w:rsidRDefault="003152E0">
            <w:proofErr w:type="spellStart"/>
            <w:r>
              <w:rPr>
                <w:sz w:val="16"/>
              </w:rPr>
              <w:t>Вакуумная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система</w:t>
            </w:r>
            <w:proofErr w:type="spellEnd"/>
          </w:p>
        </w:tc>
        <w:tc>
          <w:tcPr>
            <w:tcW w:w="12189" w:type="dxa"/>
          </w:tcPr>
          <w:p w14:paraId="5B06DD02" w14:textId="77777777" w:rsidR="00546A19" w:rsidRPr="00455C7B" w:rsidRDefault="003152E0">
            <w:pPr>
              <w:rPr>
                <w:lang w:val="ru-RU"/>
              </w:rPr>
            </w:pPr>
            <w:r w:rsidRPr="00455C7B">
              <w:rPr>
                <w:sz w:val="16"/>
                <w:lang w:val="ru-RU"/>
              </w:rPr>
              <w:t>Высоковакуумный насос — криогенный; форвакуумный насос — сухой спиральный.</w:t>
            </w:r>
          </w:p>
        </w:tc>
      </w:tr>
      <w:tr w:rsidR="00546A19" w:rsidRPr="00455C7B" w14:paraId="3E4115EE" w14:textId="77777777">
        <w:trPr>
          <w:jc w:val="center"/>
        </w:trPr>
        <w:tc>
          <w:tcPr>
            <w:tcW w:w="2948" w:type="dxa"/>
            <w:shd w:val="clear" w:color="auto" w:fill="F2F2F2"/>
          </w:tcPr>
          <w:p w14:paraId="511F4811" w14:textId="77777777" w:rsidR="00546A19" w:rsidRDefault="003152E0">
            <w:proofErr w:type="spellStart"/>
            <w:r>
              <w:rPr>
                <w:sz w:val="16"/>
              </w:rPr>
              <w:t>Предельное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стартовое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давление</w:t>
            </w:r>
            <w:proofErr w:type="spellEnd"/>
          </w:p>
        </w:tc>
        <w:tc>
          <w:tcPr>
            <w:tcW w:w="12189" w:type="dxa"/>
          </w:tcPr>
          <w:p w14:paraId="381CA70B" w14:textId="77777777" w:rsidR="00546A19" w:rsidRPr="00455C7B" w:rsidRDefault="003152E0">
            <w:pPr>
              <w:rPr>
                <w:lang w:val="ru-RU"/>
              </w:rPr>
            </w:pPr>
            <w:r w:rsidRPr="00455C7B">
              <w:rPr>
                <w:sz w:val="16"/>
                <w:lang w:val="ru-RU"/>
              </w:rPr>
              <w:t>8×10⁻⁴ Па (6,0×10⁻⁶ мм рт. ст.); стартов</w:t>
            </w:r>
            <w:r w:rsidRPr="00455C7B">
              <w:rPr>
                <w:sz w:val="16"/>
                <w:lang w:val="ru-RU"/>
              </w:rPr>
              <w:t>ое давление 5×10⁻³ Па</w:t>
            </w:r>
          </w:p>
        </w:tc>
      </w:tr>
      <w:tr w:rsidR="00546A19" w:rsidRPr="00455C7B" w14:paraId="3520D935" w14:textId="77777777">
        <w:trPr>
          <w:jc w:val="center"/>
        </w:trPr>
        <w:tc>
          <w:tcPr>
            <w:tcW w:w="2948" w:type="dxa"/>
            <w:shd w:val="clear" w:color="auto" w:fill="F2F2F2"/>
          </w:tcPr>
          <w:p w14:paraId="61F3297F" w14:textId="77777777" w:rsidR="00546A19" w:rsidRDefault="003152E0">
            <w:proofErr w:type="spellStart"/>
            <w:r>
              <w:rPr>
                <w:sz w:val="16"/>
              </w:rPr>
              <w:t>Время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откачки</w:t>
            </w:r>
            <w:proofErr w:type="spellEnd"/>
          </w:p>
        </w:tc>
        <w:tc>
          <w:tcPr>
            <w:tcW w:w="12189" w:type="dxa"/>
          </w:tcPr>
          <w:p w14:paraId="488BC567" w14:textId="77777777" w:rsidR="00546A19" w:rsidRPr="00455C7B" w:rsidRDefault="003152E0">
            <w:pPr>
              <w:rPr>
                <w:lang w:val="ru-RU"/>
              </w:rPr>
            </w:pPr>
            <w:r w:rsidRPr="00455C7B">
              <w:rPr>
                <w:sz w:val="16"/>
                <w:lang w:val="ru-RU"/>
              </w:rPr>
              <w:t>15 мин до стартового давления; 120 мин до остаточного давления; подготовка вакуумной системы 120 мин</w:t>
            </w:r>
          </w:p>
        </w:tc>
      </w:tr>
      <w:tr w:rsidR="00546A19" w:rsidRPr="00455C7B" w14:paraId="588EAC0D" w14:textId="77777777">
        <w:trPr>
          <w:jc w:val="center"/>
        </w:trPr>
        <w:tc>
          <w:tcPr>
            <w:tcW w:w="2948" w:type="dxa"/>
            <w:shd w:val="clear" w:color="auto" w:fill="F2F2F2"/>
          </w:tcPr>
          <w:p w14:paraId="4839A975" w14:textId="77777777" w:rsidR="00546A19" w:rsidRDefault="003152E0">
            <w:proofErr w:type="spellStart"/>
            <w:r>
              <w:rPr>
                <w:sz w:val="16"/>
              </w:rPr>
              <w:t>Газонапуск</w:t>
            </w:r>
            <w:proofErr w:type="spellEnd"/>
          </w:p>
        </w:tc>
        <w:tc>
          <w:tcPr>
            <w:tcW w:w="12189" w:type="dxa"/>
          </w:tcPr>
          <w:p w14:paraId="6726DA39" w14:textId="77777777" w:rsidR="00546A19" w:rsidRPr="00455C7B" w:rsidRDefault="003152E0">
            <w:pPr>
              <w:rPr>
                <w:lang w:val="ru-RU"/>
              </w:rPr>
            </w:pPr>
            <w:r w:rsidRPr="00455C7B">
              <w:rPr>
                <w:sz w:val="16"/>
                <w:lang w:val="ru-RU"/>
              </w:rPr>
              <w:t xml:space="preserve">0–9 л/ч по каналу; автоматических каналов </w:t>
            </w:r>
            <w:proofErr w:type="spellStart"/>
            <w:r w:rsidRPr="00455C7B">
              <w:rPr>
                <w:sz w:val="16"/>
                <w:lang w:val="ru-RU"/>
              </w:rPr>
              <w:t>газонапуска</w:t>
            </w:r>
            <w:proofErr w:type="spellEnd"/>
            <w:r w:rsidRPr="00455C7B">
              <w:rPr>
                <w:sz w:val="16"/>
                <w:lang w:val="ru-RU"/>
              </w:rPr>
              <w:t xml:space="preserve"> — до 3</w:t>
            </w:r>
          </w:p>
        </w:tc>
      </w:tr>
      <w:tr w:rsidR="00546A19" w:rsidRPr="00455C7B" w14:paraId="4E857687" w14:textId="77777777">
        <w:trPr>
          <w:jc w:val="center"/>
        </w:trPr>
        <w:tc>
          <w:tcPr>
            <w:tcW w:w="2948" w:type="dxa"/>
            <w:shd w:val="clear" w:color="auto" w:fill="F2F2F2"/>
          </w:tcPr>
          <w:p w14:paraId="746B4569" w14:textId="77777777" w:rsidR="00546A19" w:rsidRDefault="003152E0">
            <w:proofErr w:type="spellStart"/>
            <w:r>
              <w:rPr>
                <w:sz w:val="16"/>
              </w:rPr>
              <w:t>Магнетронная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система</w:t>
            </w:r>
            <w:proofErr w:type="spellEnd"/>
          </w:p>
        </w:tc>
        <w:tc>
          <w:tcPr>
            <w:tcW w:w="12189" w:type="dxa"/>
          </w:tcPr>
          <w:p w14:paraId="5252D36A" w14:textId="77777777" w:rsidR="00546A19" w:rsidRPr="00455C7B" w:rsidRDefault="003152E0">
            <w:pPr>
              <w:rPr>
                <w:lang w:val="ru-RU"/>
              </w:rPr>
            </w:pPr>
            <w:r w:rsidRPr="00455C7B">
              <w:rPr>
                <w:sz w:val="16"/>
                <w:lang w:val="ru-RU"/>
              </w:rPr>
              <w:t xml:space="preserve">Мишень 440×100 мм; </w:t>
            </w:r>
            <w:r w:rsidRPr="00455C7B">
              <w:rPr>
                <w:sz w:val="16"/>
                <w:lang w:val="ru-RU"/>
              </w:rPr>
              <w:t>прямое или косвенное охлаждение; магнитная система разбалансированная, сухие магниты на атмосфере; 2 блока питания (4 опция); до 650 В, до 15 А.</w:t>
            </w:r>
          </w:p>
        </w:tc>
      </w:tr>
      <w:tr w:rsidR="00546A19" w:rsidRPr="00455C7B" w14:paraId="6F10E852" w14:textId="77777777">
        <w:trPr>
          <w:jc w:val="center"/>
        </w:trPr>
        <w:tc>
          <w:tcPr>
            <w:tcW w:w="2948" w:type="dxa"/>
            <w:shd w:val="clear" w:color="auto" w:fill="F2F2F2"/>
          </w:tcPr>
          <w:p w14:paraId="7120FDE5" w14:textId="77777777" w:rsidR="00546A19" w:rsidRDefault="003152E0">
            <w:proofErr w:type="spellStart"/>
            <w:r>
              <w:rPr>
                <w:sz w:val="16"/>
              </w:rPr>
              <w:t>Источник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ионов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ионное</w:t>
            </w:r>
            <w:proofErr w:type="spellEnd"/>
            <w:r>
              <w:rPr>
                <w:sz w:val="16"/>
              </w:rPr>
              <w:t xml:space="preserve"> распыление</w:t>
            </w:r>
          </w:p>
        </w:tc>
        <w:tc>
          <w:tcPr>
            <w:tcW w:w="12189" w:type="dxa"/>
          </w:tcPr>
          <w:p w14:paraId="19B926C4" w14:textId="77777777" w:rsidR="00546A19" w:rsidRPr="00455C7B" w:rsidRDefault="003152E0">
            <w:pPr>
              <w:rPr>
                <w:lang w:val="ru-RU"/>
              </w:rPr>
            </w:pPr>
            <w:r w:rsidRPr="00455C7B">
              <w:rPr>
                <w:sz w:val="16"/>
                <w:lang w:val="ru-RU"/>
              </w:rPr>
              <w:t>Щелевой источник с холодным катодом; до 3000 В; до 600 мА.</w:t>
            </w:r>
          </w:p>
        </w:tc>
      </w:tr>
      <w:tr w:rsidR="00546A19" w:rsidRPr="00455C7B" w14:paraId="58DB83C1" w14:textId="77777777">
        <w:trPr>
          <w:jc w:val="center"/>
        </w:trPr>
        <w:tc>
          <w:tcPr>
            <w:tcW w:w="2948" w:type="dxa"/>
            <w:shd w:val="clear" w:color="auto" w:fill="F2F2F2"/>
          </w:tcPr>
          <w:p w14:paraId="76AD77B0" w14:textId="77777777" w:rsidR="00546A19" w:rsidRDefault="003152E0">
            <w:r>
              <w:rPr>
                <w:sz w:val="16"/>
              </w:rPr>
              <w:t xml:space="preserve">Нагрев / </w:t>
            </w:r>
            <w:proofErr w:type="spellStart"/>
            <w:r>
              <w:rPr>
                <w:sz w:val="16"/>
              </w:rPr>
              <w:t>испаре</w:t>
            </w:r>
            <w:r>
              <w:rPr>
                <w:sz w:val="16"/>
              </w:rPr>
              <w:t>ние</w:t>
            </w:r>
            <w:proofErr w:type="spellEnd"/>
          </w:p>
        </w:tc>
        <w:tc>
          <w:tcPr>
            <w:tcW w:w="12189" w:type="dxa"/>
          </w:tcPr>
          <w:p w14:paraId="77D59C56" w14:textId="77777777" w:rsidR="00546A19" w:rsidRPr="00455C7B" w:rsidRDefault="003152E0">
            <w:pPr>
              <w:rPr>
                <w:lang w:val="ru-RU"/>
              </w:rPr>
            </w:pPr>
            <w:r w:rsidRPr="00455C7B">
              <w:rPr>
                <w:sz w:val="16"/>
                <w:lang w:val="ru-RU"/>
              </w:rPr>
              <w:t>Система нагрева 4000 Вт; температура изделий до 300 °</w:t>
            </w:r>
            <w:r>
              <w:rPr>
                <w:sz w:val="16"/>
              </w:rPr>
              <w:t>C</w:t>
            </w:r>
            <w:r w:rsidRPr="00455C7B">
              <w:rPr>
                <w:sz w:val="16"/>
                <w:lang w:val="ru-RU"/>
              </w:rPr>
              <w:t>.</w:t>
            </w:r>
          </w:p>
        </w:tc>
      </w:tr>
      <w:tr w:rsidR="00546A19" w:rsidRPr="00455C7B" w14:paraId="1943A33D" w14:textId="77777777">
        <w:trPr>
          <w:jc w:val="center"/>
        </w:trPr>
        <w:tc>
          <w:tcPr>
            <w:tcW w:w="2948" w:type="dxa"/>
            <w:shd w:val="clear" w:color="auto" w:fill="F2F2F2"/>
          </w:tcPr>
          <w:p w14:paraId="785A6E55" w14:textId="77777777" w:rsidR="00546A19" w:rsidRDefault="003152E0">
            <w:r>
              <w:rPr>
                <w:sz w:val="16"/>
              </w:rPr>
              <w:t>Неравномерность / воспроизводимость</w:t>
            </w:r>
          </w:p>
        </w:tc>
        <w:tc>
          <w:tcPr>
            <w:tcW w:w="12189" w:type="dxa"/>
          </w:tcPr>
          <w:p w14:paraId="4047B04F" w14:textId="77777777" w:rsidR="00546A19" w:rsidRPr="00455C7B" w:rsidRDefault="003152E0">
            <w:pPr>
              <w:rPr>
                <w:lang w:val="ru-RU"/>
              </w:rPr>
            </w:pPr>
            <w:r w:rsidRPr="00455C7B">
              <w:rPr>
                <w:sz w:val="16"/>
                <w:lang w:val="ru-RU"/>
              </w:rPr>
              <w:t>Двухстороннее нанесение: ±2% при 36 шт., ±4% при 66 шт.; одностороннее: ±2% при 72 шт., ±4% при 110 шт.</w:t>
            </w:r>
          </w:p>
        </w:tc>
      </w:tr>
      <w:tr w:rsidR="00546A19" w14:paraId="6A647598" w14:textId="77777777">
        <w:trPr>
          <w:jc w:val="center"/>
        </w:trPr>
        <w:tc>
          <w:tcPr>
            <w:tcW w:w="2948" w:type="dxa"/>
            <w:shd w:val="clear" w:color="auto" w:fill="F2F2F2"/>
          </w:tcPr>
          <w:p w14:paraId="52DA1B26" w14:textId="77777777" w:rsidR="00546A19" w:rsidRDefault="003152E0">
            <w:proofErr w:type="spellStart"/>
            <w:r>
              <w:rPr>
                <w:sz w:val="16"/>
              </w:rPr>
              <w:t>Габариты</w:t>
            </w:r>
            <w:proofErr w:type="spellEnd"/>
          </w:p>
        </w:tc>
        <w:tc>
          <w:tcPr>
            <w:tcW w:w="12189" w:type="dxa"/>
          </w:tcPr>
          <w:p w14:paraId="14505F4B" w14:textId="77777777" w:rsidR="00546A19" w:rsidRDefault="003152E0">
            <w:r>
              <w:rPr>
                <w:sz w:val="16"/>
              </w:rPr>
              <w:t>1650×1850×2980 мм (с поднятой камерой)</w:t>
            </w:r>
          </w:p>
        </w:tc>
      </w:tr>
      <w:tr w:rsidR="00546A19" w:rsidRPr="00455C7B" w14:paraId="447ADB48" w14:textId="77777777">
        <w:trPr>
          <w:jc w:val="center"/>
        </w:trPr>
        <w:tc>
          <w:tcPr>
            <w:tcW w:w="2948" w:type="dxa"/>
            <w:shd w:val="clear" w:color="auto" w:fill="F2F2F2"/>
          </w:tcPr>
          <w:p w14:paraId="2B002EA6" w14:textId="77777777" w:rsidR="00546A19" w:rsidRDefault="003152E0">
            <w:r>
              <w:rPr>
                <w:sz w:val="16"/>
              </w:rPr>
              <w:t>Масса</w:t>
            </w:r>
            <w:r>
              <w:rPr>
                <w:sz w:val="16"/>
              </w:rPr>
              <w:t xml:space="preserve"> / площадь</w:t>
            </w:r>
          </w:p>
        </w:tc>
        <w:tc>
          <w:tcPr>
            <w:tcW w:w="12189" w:type="dxa"/>
          </w:tcPr>
          <w:p w14:paraId="410A5565" w14:textId="77777777" w:rsidR="00546A19" w:rsidRPr="00455C7B" w:rsidRDefault="003152E0">
            <w:pPr>
              <w:rPr>
                <w:lang w:val="ru-RU"/>
              </w:rPr>
            </w:pPr>
            <w:r w:rsidRPr="00455C7B">
              <w:rPr>
                <w:sz w:val="16"/>
                <w:lang w:val="ru-RU"/>
              </w:rPr>
              <w:t>Агрегат 1150 кг; установка до 1850 кг; площадь 20 м²</w:t>
            </w:r>
          </w:p>
        </w:tc>
      </w:tr>
      <w:tr w:rsidR="00546A19" w:rsidRPr="00455C7B" w14:paraId="3DCC692D" w14:textId="77777777">
        <w:trPr>
          <w:jc w:val="center"/>
        </w:trPr>
        <w:tc>
          <w:tcPr>
            <w:tcW w:w="2948" w:type="dxa"/>
            <w:shd w:val="clear" w:color="auto" w:fill="F2F2F2"/>
          </w:tcPr>
          <w:p w14:paraId="383B3FF5" w14:textId="77777777" w:rsidR="00546A19" w:rsidRDefault="003152E0">
            <w:proofErr w:type="spellStart"/>
            <w:r>
              <w:rPr>
                <w:sz w:val="16"/>
              </w:rPr>
              <w:t>Электропитание</w:t>
            </w:r>
            <w:proofErr w:type="spellEnd"/>
          </w:p>
        </w:tc>
        <w:tc>
          <w:tcPr>
            <w:tcW w:w="12189" w:type="dxa"/>
          </w:tcPr>
          <w:p w14:paraId="54117BEF" w14:textId="77777777" w:rsidR="00546A19" w:rsidRPr="00455C7B" w:rsidRDefault="003152E0">
            <w:pPr>
              <w:rPr>
                <w:lang w:val="ru-RU"/>
              </w:rPr>
            </w:pPr>
            <w:r w:rsidRPr="00455C7B">
              <w:rPr>
                <w:sz w:val="16"/>
                <w:lang w:val="ru-RU"/>
              </w:rPr>
              <w:t>380 В ±10%, 50 Гц; ток по фазам не более 80 А; мощность 75 кВт</w:t>
            </w:r>
          </w:p>
        </w:tc>
      </w:tr>
      <w:tr w:rsidR="00546A19" w:rsidRPr="00455C7B" w14:paraId="3B0AA5E5" w14:textId="77777777">
        <w:trPr>
          <w:jc w:val="center"/>
        </w:trPr>
        <w:tc>
          <w:tcPr>
            <w:tcW w:w="2948" w:type="dxa"/>
            <w:shd w:val="clear" w:color="auto" w:fill="F2F2F2"/>
          </w:tcPr>
          <w:p w14:paraId="65EBA5A8" w14:textId="77777777" w:rsidR="00546A19" w:rsidRDefault="003152E0">
            <w:proofErr w:type="spellStart"/>
            <w:r>
              <w:rPr>
                <w:sz w:val="16"/>
              </w:rPr>
              <w:t>Охлаждение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коммуникации</w:t>
            </w:r>
            <w:proofErr w:type="spellEnd"/>
          </w:p>
        </w:tc>
        <w:tc>
          <w:tcPr>
            <w:tcW w:w="12189" w:type="dxa"/>
          </w:tcPr>
          <w:p w14:paraId="1C3F14B8" w14:textId="77777777" w:rsidR="00546A19" w:rsidRPr="00455C7B" w:rsidRDefault="003152E0">
            <w:pPr>
              <w:rPr>
                <w:lang w:val="ru-RU"/>
              </w:rPr>
            </w:pPr>
            <w:r w:rsidRPr="00455C7B">
              <w:rPr>
                <w:sz w:val="16"/>
                <w:lang w:val="ru-RU"/>
              </w:rPr>
              <w:t>Холодная вода 15–22 °</w:t>
            </w:r>
            <w:r>
              <w:rPr>
                <w:sz w:val="16"/>
              </w:rPr>
              <w:t>C</w:t>
            </w:r>
            <w:r w:rsidRPr="00455C7B">
              <w:rPr>
                <w:sz w:val="16"/>
                <w:lang w:val="ru-RU"/>
              </w:rPr>
              <w:t xml:space="preserve">, 3–5 кгс/см², 2 м³/ч; сжатый воздух 4–6 кгс/см²; </w:t>
            </w:r>
            <w:proofErr w:type="spellStart"/>
            <w:r>
              <w:rPr>
                <w:sz w:val="16"/>
              </w:rPr>
              <w:t>Ar</w:t>
            </w:r>
            <w:proofErr w:type="spellEnd"/>
            <w:r w:rsidRPr="00455C7B">
              <w:rPr>
                <w:sz w:val="16"/>
                <w:lang w:val="ru-RU"/>
              </w:rPr>
              <w:t>/</w:t>
            </w:r>
            <w:r>
              <w:rPr>
                <w:sz w:val="16"/>
              </w:rPr>
              <w:t>O</w:t>
            </w:r>
            <w:r w:rsidRPr="00455C7B">
              <w:rPr>
                <w:sz w:val="16"/>
                <w:lang w:val="ru-RU"/>
              </w:rPr>
              <w:t xml:space="preserve">₂ </w:t>
            </w:r>
            <w:r w:rsidRPr="00455C7B">
              <w:rPr>
                <w:sz w:val="16"/>
                <w:lang w:val="ru-RU"/>
              </w:rPr>
              <w:t>1–1,5 кгс/см²</w:t>
            </w:r>
          </w:p>
        </w:tc>
      </w:tr>
    </w:tbl>
    <w:p w14:paraId="748FDBCB" w14:textId="45ECEAE8" w:rsidR="00546A19" w:rsidRPr="003152E0" w:rsidRDefault="00546A19">
      <w:pPr>
        <w:rPr>
          <w:lang w:val="ru-RU"/>
        </w:rPr>
      </w:pPr>
    </w:p>
    <w:sectPr w:rsidR="00546A19" w:rsidRPr="003152E0" w:rsidSect="00034616">
      <w:pgSz w:w="16838" w:h="11906" w:orient="landscape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52E0"/>
    <w:rsid w:val="00326F90"/>
    <w:rsid w:val="00455C7B"/>
    <w:rsid w:val="00546A1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E3A84"/>
  <w14:defaultImageDpi w14:val="300"/>
  <w15:docId w15:val="{D5682356-8E15-4B65-9F61-BFEB4C49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6655E5-7AF0-4788-9D0A-6DC4F312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Илья Дмитриев</cp:lastModifiedBy>
  <cp:revision>2</cp:revision>
  <dcterms:created xsi:type="dcterms:W3CDTF">2026-06-04T10:49:00Z</dcterms:created>
  <dcterms:modified xsi:type="dcterms:W3CDTF">2026-06-04T10:49:00Z</dcterms:modified>
  <cp:category/>
</cp:coreProperties>
</file>